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результатах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проверок, проведенных отделом внутреннего контроля и аудита </w:t>
      </w:r>
      <w:r>
        <w:rPr>
          <w:b/>
          <w:sz w:val="28"/>
          <w:szCs w:val="28"/>
        </w:rPr>
        <w:t xml:space="preserve">УФК </w:t>
      </w:r>
      <w:r>
        <w:rPr>
          <w:b/>
          <w:sz w:val="28"/>
          <w:szCs w:val="28"/>
        </w:rPr>
        <w:t xml:space="preserve">по Ростовской области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 xml:space="preserve">Основание для проведения проверки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План ведомственного контроля и аудита на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 Управления Федерального казначейства по Ростовской области, утвержденны</w:t>
      </w:r>
      <w:r>
        <w:rPr>
          <w:sz w:val="28"/>
          <w:szCs w:val="28"/>
        </w:rPr>
        <w:t xml:space="preserve">й 22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(с изменениями, утвержденными 25.02.2026).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риказ </w:t>
      </w:r>
      <w:r>
        <w:rPr>
          <w:sz w:val="28"/>
          <w:szCs w:val="28"/>
        </w:rPr>
        <w:t xml:space="preserve">Управления Федерального казначейства по Ростовской области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 xml:space="preserve">25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марта</w:t>
      </w:r>
      <w:r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</w:rPr>
        <w:t xml:space="preserve">6</w:t>
      </w:r>
      <w:r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 xml:space="preserve">201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«О проведении проверки деятельности отдела </w:t>
      </w:r>
      <w:r>
        <w:rPr>
          <w:sz w:val="28"/>
          <w:szCs w:val="28"/>
        </w:rPr>
        <w:t xml:space="preserve">по надзору за аудиторской деятельностью </w:t>
      </w:r>
      <w:r>
        <w:rPr>
          <w:sz w:val="28"/>
          <w:szCs w:val="28"/>
        </w:rPr>
        <w:t xml:space="preserve">Управления Федерального казначейства по Ростовской области»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Тема проверки:</w:t>
      </w:r>
      <w:r>
        <w:rPr>
          <w:b/>
          <w:bCs/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Пр</w:t>
      </w:r>
      <w:r>
        <w:rPr>
          <w:sz w:val="28"/>
          <w:szCs w:val="28"/>
        </w:rPr>
        <w:t xml:space="preserve">оверка деятельности отдела по надзору за аудиторской деятельностью Управления Федерального казначейства по Ростовской области по соблюдению требований к проведению профилактических визитов и выездных проверок с применением контрольного действия по осмотру.</w:t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20"/>
        <w:jc w:val="both"/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 xml:space="preserve">Проверяемый период: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июль – декабрь 2025 г. и январь - март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</w:r>
    </w:p>
    <w:p>
      <w:pPr>
        <w:ind w:firstLine="720"/>
        <w:jc w:val="both"/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shd w:val="clear" w:color="auto" w:fill="ffffff"/>
        <w:widowControl w:val="off"/>
        <w:rPr>
          <w:sz w:val="28"/>
          <w:szCs w:val="28"/>
        </w:rPr>
      </w:pPr>
      <w:r>
        <w:rPr>
          <w:b/>
          <w:sz w:val="28"/>
          <w:szCs w:val="28"/>
        </w:rPr>
        <w:t xml:space="preserve">Срок проведения проверки: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06</w:t>
      </w:r>
      <w:r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апреля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</w:r>
    </w:p>
    <w:p>
      <w:pPr>
        <w:ind w:firstLine="709"/>
        <w:jc w:val="both"/>
        <w:shd w:val="clear" w:color="auto" w:fill="ffffff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20"/>
        <w:shd w:val="clear" w:color="auto" w:fill="ffffff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 xml:space="preserve">Метод проведения проверки: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тематическая</w:t>
      </w:r>
      <w:r>
        <w:rPr>
          <w:sz w:val="28"/>
          <w:szCs w:val="28"/>
        </w:rPr>
        <w:t xml:space="preserve"> проверка.</w:t>
      </w:r>
      <w:r>
        <w:rPr>
          <w:sz w:val="28"/>
          <w:szCs w:val="28"/>
          <w:highlight w:val="yellow"/>
        </w:rPr>
      </w:r>
    </w:p>
    <w:p>
      <w:pPr>
        <w:ind w:firstLine="709"/>
        <w:jc w:val="both"/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20"/>
        <w:shd w:val="clear" w:color="auto" w:fill="ffffff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 xml:space="preserve">Вид</w:t>
      </w:r>
      <w:r>
        <w:rPr>
          <w:b/>
          <w:sz w:val="28"/>
          <w:szCs w:val="28"/>
        </w:rPr>
        <w:t xml:space="preserve"> проведения проверки: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комбинированная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проверка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highlight w:val="yellow"/>
        </w:rPr>
      </w:r>
    </w:p>
    <w:p>
      <w:pPr>
        <w:ind w:firstLine="706"/>
        <w:jc w:val="both"/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6"/>
        <w:jc w:val="both"/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 xml:space="preserve">Способ проведения проверки:</w:t>
      </w:r>
      <w:r>
        <w:rPr>
          <w:sz w:val="28"/>
          <w:szCs w:val="28"/>
        </w:rPr>
        <w:t xml:space="preserve"> выборочная проверка.</w:t>
      </w:r>
      <w:r>
        <w:rPr>
          <w:sz w:val="28"/>
          <w:szCs w:val="28"/>
        </w:rPr>
      </w:r>
    </w:p>
    <w:p>
      <w:pPr>
        <w:ind w:firstLine="709"/>
        <w:jc w:val="both"/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20"/>
        <w:jc w:val="both"/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Результаты проверки:</w:t>
      </w:r>
      <w:r>
        <w:rPr>
          <w:b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По результатам проверки </w:t>
      </w:r>
      <w:r>
        <w:rPr>
          <w:sz w:val="28"/>
          <w:szCs w:val="28"/>
        </w:rPr>
        <w:t xml:space="preserve">отдела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надзору за аудиторской деятельностью </w:t>
      </w:r>
      <w:r>
        <w:rPr>
          <w:sz w:val="28"/>
          <w:szCs w:val="28"/>
        </w:rPr>
        <w:t xml:space="preserve">УФК</w:t>
      </w:r>
      <w:r>
        <w:rPr>
          <w:sz w:val="28"/>
          <w:szCs w:val="28"/>
        </w:rPr>
        <w:t xml:space="preserve"> по Ростовской области </w:t>
      </w:r>
      <w:r>
        <w:rPr>
          <w:sz w:val="28"/>
          <w:szCs w:val="28"/>
        </w:rPr>
        <w:t xml:space="preserve">(далее 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</w:t>
      </w:r>
      <w:r>
        <w:rPr>
          <w:sz w:val="28"/>
          <w:szCs w:val="28"/>
        </w:rPr>
        <w:t xml:space="preserve"> по надзору за аудиторской деятельностью)</w:t>
      </w:r>
      <w:bookmarkStart w:id="0" w:name="_GoBack"/>
      <w:r/>
      <w:bookmarkEnd w:id="0"/>
      <w:r>
        <w:rPr>
          <w:sz w:val="28"/>
          <w:szCs w:val="28"/>
        </w:rPr>
        <w:t xml:space="preserve"> по соблюдению требований к проведению профилактических визитов и выездных проверок с применением контрольного действия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осмотру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 Акт проверки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09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еятельность </w:t>
      </w:r>
      <w:r>
        <w:rPr>
          <w:sz w:val="28"/>
          <w:szCs w:val="28"/>
        </w:rPr>
        <w:t xml:space="preserve">отдела по надзору за аудиторской</w:t>
      </w:r>
      <w:r>
        <w:rPr>
          <w:sz w:val="28"/>
          <w:szCs w:val="28"/>
        </w:rPr>
        <w:t xml:space="preserve"> деятельност</w:t>
      </w:r>
      <w:r>
        <w:rPr>
          <w:sz w:val="28"/>
          <w:szCs w:val="28"/>
        </w:rPr>
        <w:t xml:space="preserve">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проверенным </w:t>
      </w:r>
      <w:r>
        <w:rPr>
          <w:sz w:val="28"/>
          <w:szCs w:val="28"/>
        </w:rPr>
        <w:t xml:space="preserve">вопросам </w:t>
      </w:r>
      <w:r>
        <w:rPr>
          <w:sz w:val="28"/>
          <w:szCs w:val="28"/>
        </w:rPr>
        <w:t xml:space="preserve">осуществлялась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соответствии с требованиями </w:t>
      </w:r>
      <w:r>
        <w:rPr>
          <w:sz w:val="28"/>
          <w:szCs w:val="28"/>
        </w:rPr>
        <w:t xml:space="preserve">действовавших </w:t>
      </w:r>
      <w:r>
        <w:rPr>
          <w:sz w:val="28"/>
          <w:szCs w:val="28"/>
        </w:rPr>
        <w:t xml:space="preserve">нормативных правовых актов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нарушений (недостатков) не выявлено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567" w:bottom="851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087504817"/>
      <w:docPartObj>
        <w:docPartGallery w:val="Page Numbers (Top of Page)"/>
        <w:docPartUnique w:val="true"/>
      </w:docPartObj>
      <w:rPr/>
    </w:sdtPr>
    <w:sdtContent>
      <w:p>
        <w:pPr>
          <w:pStyle w:val="68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683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7"/>
    <w:next w:val="67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7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7"/>
    <w:next w:val="67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7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7"/>
    <w:next w:val="67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7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7"/>
    <w:next w:val="67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7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7"/>
    <w:next w:val="67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7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7"/>
    <w:next w:val="67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7"/>
    <w:next w:val="67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7"/>
    <w:next w:val="67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7"/>
    <w:next w:val="67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7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7"/>
    <w:next w:val="67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78"/>
    <w:link w:val="34"/>
    <w:uiPriority w:val="10"/>
    <w:rPr>
      <w:sz w:val="48"/>
      <w:szCs w:val="48"/>
    </w:rPr>
  </w:style>
  <w:style w:type="paragraph" w:styleId="36">
    <w:name w:val="Subtitle"/>
    <w:basedOn w:val="677"/>
    <w:next w:val="67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78"/>
    <w:link w:val="36"/>
    <w:uiPriority w:val="11"/>
    <w:rPr>
      <w:sz w:val="24"/>
      <w:szCs w:val="24"/>
    </w:rPr>
  </w:style>
  <w:style w:type="paragraph" w:styleId="38">
    <w:name w:val="Quote"/>
    <w:basedOn w:val="677"/>
    <w:next w:val="67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7"/>
    <w:next w:val="67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78"/>
    <w:link w:val="683"/>
    <w:uiPriority w:val="99"/>
  </w:style>
  <w:style w:type="character" w:styleId="45">
    <w:name w:val="Footer Char"/>
    <w:basedOn w:val="678"/>
    <w:link w:val="685"/>
    <w:uiPriority w:val="99"/>
  </w:style>
  <w:style w:type="paragraph" w:styleId="46">
    <w:name w:val="Caption"/>
    <w:basedOn w:val="677"/>
    <w:next w:val="67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7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7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7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78"/>
    <w:uiPriority w:val="99"/>
    <w:unhideWhenUsed/>
    <w:rPr>
      <w:vertAlign w:val="superscript"/>
    </w:rPr>
  </w:style>
  <w:style w:type="paragraph" w:styleId="178">
    <w:name w:val="endnote text"/>
    <w:basedOn w:val="67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8"/>
    <w:uiPriority w:val="99"/>
    <w:semiHidden/>
    <w:unhideWhenUsed/>
    <w:rPr>
      <w:vertAlign w:val="superscript"/>
    </w:rPr>
  </w:style>
  <w:style w:type="paragraph" w:styleId="181">
    <w:name w:val="toc 1"/>
    <w:basedOn w:val="677"/>
    <w:next w:val="67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7"/>
    <w:next w:val="67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7"/>
    <w:next w:val="67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7"/>
    <w:next w:val="67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7"/>
    <w:next w:val="67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7"/>
    <w:next w:val="67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7"/>
    <w:next w:val="67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7"/>
    <w:next w:val="67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7"/>
    <w:next w:val="67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7"/>
    <w:next w:val="677"/>
    <w:uiPriority w:val="99"/>
    <w:unhideWhenUsed/>
    <w:pPr>
      <w:spacing w:after="0" w:afterAutospacing="0"/>
    </w:pPr>
  </w:style>
  <w:style w:type="paragraph" w:styleId="677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78" w:default="1">
    <w:name w:val="Default Paragraph Font"/>
    <w:uiPriority w:val="1"/>
    <w:semiHidden/>
    <w:unhideWhenUsed/>
  </w:style>
  <w:style w:type="table" w:styleId="67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0" w:default="1">
    <w:name w:val="No List"/>
    <w:uiPriority w:val="99"/>
    <w:semiHidden/>
    <w:unhideWhenUsed/>
  </w:style>
  <w:style w:type="paragraph" w:styleId="681">
    <w:name w:val="Balloon Text"/>
    <w:basedOn w:val="677"/>
    <w:link w:val="682"/>
    <w:uiPriority w:val="99"/>
    <w:semiHidden/>
    <w:unhideWhenUsed/>
    <w:rPr>
      <w:rFonts w:ascii="Tahoma" w:hAnsi="Tahoma" w:cs="Tahoma"/>
      <w:sz w:val="16"/>
      <w:szCs w:val="16"/>
    </w:rPr>
  </w:style>
  <w:style w:type="character" w:styleId="682" w:customStyle="1">
    <w:name w:val="Текст выноски Знак"/>
    <w:basedOn w:val="678"/>
    <w:link w:val="681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683">
    <w:name w:val="Header"/>
    <w:basedOn w:val="677"/>
    <w:link w:val="68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84" w:customStyle="1">
    <w:name w:val="Верхний колонтитул Знак"/>
    <w:basedOn w:val="678"/>
    <w:link w:val="683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85">
    <w:name w:val="Footer"/>
    <w:basedOn w:val="677"/>
    <w:link w:val="68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86" w:customStyle="1">
    <w:name w:val="Нижний колонтитул Знак"/>
    <w:basedOn w:val="678"/>
    <w:link w:val="685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83B39-3522-44EE-9A93-9CF9AF684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Ионова Татьяна Ивановна</dc:creator>
  <cp:lastModifiedBy>Гулина Ирина Михайловна</cp:lastModifiedBy>
  <cp:revision>44</cp:revision>
  <dcterms:created xsi:type="dcterms:W3CDTF">2022-03-03T06:43:00Z</dcterms:created>
  <dcterms:modified xsi:type="dcterms:W3CDTF">2026-04-16T13:23:52Z</dcterms:modified>
</cp:coreProperties>
</file>